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E6EBE">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4D56AC7B">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28FE5940">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74</w:t>
      </w:r>
      <w:r>
        <w:rPr>
          <w:rFonts w:ascii="仿宋" w:hAnsi="仿宋" w:eastAsia="仿宋" w:cs="仿宋"/>
          <w:spacing w:val="-7"/>
          <w:sz w:val="32"/>
          <w:szCs w:val="32"/>
        </w:rPr>
        <w:t>号</w:t>
      </w:r>
    </w:p>
    <w:p w14:paraId="0C4E5E4A">
      <w:pPr>
        <w:spacing w:before="105" w:line="300" w:lineRule="auto"/>
        <w:ind w:right="16"/>
        <w:rPr>
          <w:rFonts w:ascii="仿宋" w:hAnsi="仿宋" w:eastAsia="仿宋" w:cs="仿宋"/>
          <w:spacing w:val="21"/>
          <w:sz w:val="32"/>
          <w:szCs w:val="32"/>
        </w:rPr>
      </w:pPr>
      <w:r>
        <w:rPr>
          <w:rFonts w:ascii="仿宋" w:hAnsi="仿宋" w:eastAsia="仿宋" w:cs="仿宋"/>
          <w:spacing w:val="4"/>
          <w:sz w:val="32"/>
          <w:szCs w:val="32"/>
        </w:rPr>
        <w:t xml:space="preserve">当事人： </w:t>
      </w:r>
      <w:r>
        <w:rPr>
          <w:rFonts w:hint="eastAsia" w:ascii="仿宋" w:hAnsi="仿宋" w:eastAsia="仿宋" w:cs="仿宋"/>
          <w:spacing w:val="4"/>
          <w:sz w:val="32"/>
          <w:szCs w:val="32"/>
          <w:u w:val="single"/>
          <w:lang w:val="en-US" w:eastAsia="zh-CN"/>
        </w:rPr>
        <w:t>和田孜乃提手工地毯开发有限公司等10家企业</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u w:val="single"/>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pacing w:val="1"/>
          <w:sz w:val="32"/>
          <w:szCs w:val="32"/>
          <w:u w:val="single" w:color="auto"/>
          <w:lang w:val="en-US" w:eastAsia="zh-CN"/>
        </w:rPr>
        <w:t xml:space="preserve">麦麦提·麦麦提敏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p>
    <w:p w14:paraId="37472BED">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bookmarkStart w:id="0" w:name="_GoBack"/>
      <w:bookmarkEnd w:id="0"/>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和田孜乃提手工地毯开发有限公司等10家企业</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和田孜乃提手工地毯开发有限公司等10家企业）</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auto"/>
          <w:spacing w:val="0"/>
          <w:sz w:val="32"/>
          <w:szCs w:val="32"/>
          <w:highlight w:val="none"/>
          <w:u w:val="single" w:color="auto"/>
          <w:lang w:val="en-US" w:eastAsia="zh-CN"/>
        </w:rPr>
        <w:fldChar w:fldCharType="begin"/>
      </w:r>
      <w:r>
        <w:rPr>
          <w:rFonts w:hint="eastAsia" w:ascii="仿宋_GB2312" w:hAnsi="仿宋_GB2312" w:eastAsia="仿宋_GB2312" w:cs="仿宋_GB2312"/>
          <w:color w:val="auto"/>
          <w:spacing w:val="0"/>
          <w:sz w:val="32"/>
          <w:szCs w:val="32"/>
          <w:highlight w:val="none"/>
          <w:u w:val="single" w:color="auto"/>
          <w:lang w:val="en-US" w:eastAsia="zh-CN"/>
        </w:rPr>
        <w:instrText xml:space="preserve"> HYPERLINK "https://nb.xjaic.gov.cn/）补报企业年度报告、并到我局办理经营异常名录移出等相关手续或者办理注销手续，对逾期仍不办理的，我局将依法吊销营业执照。策勒县嘉玉矿业有限公司等73家企业连续两年未报送年度报告行为，涉嫌违反了《企业信息公示暂行条例》第八条第一款之规定，构成未依法报送年度报告的违法行为。依据《市场监督管理行政处罚程序规定》第十九条第一款的规定，我局执法人员向主要领导汇报，并于2025年8月21日立案。本案未采取强制措施。" </w:instrText>
      </w:r>
      <w:r>
        <w:rPr>
          <w:rFonts w:hint="eastAsia" w:ascii="仿宋_GB2312" w:hAnsi="仿宋_GB2312" w:eastAsia="仿宋_GB2312" w:cs="仿宋_GB2312"/>
          <w:color w:val="auto"/>
          <w:spacing w:val="0"/>
          <w:sz w:val="32"/>
          <w:szCs w:val="32"/>
          <w:highlight w:val="none"/>
          <w:u w:val="single" w:color="auto"/>
          <w:lang w:val="en-US" w:eastAsia="zh-CN"/>
        </w:rPr>
        <w:fldChar w:fldCharType="separate"/>
      </w:r>
      <w:r>
        <w:rPr>
          <w:rStyle w:val="6"/>
          <w:rFonts w:hint="eastAsia" w:ascii="仿宋_GB2312" w:hAnsi="仿宋_GB2312" w:eastAsia="仿宋_GB2312" w:cs="仿宋_GB2312"/>
          <w:color w:val="auto"/>
          <w:spacing w:val="0"/>
          <w:sz w:val="32"/>
          <w:szCs w:val="32"/>
          <w:highlight w:val="none"/>
          <w:lang w:val="en-US" w:eastAsia="zh-CN"/>
        </w:rPr>
        <w:t>https://nb.xjaic.gov.cn/）补报企业年度报告、并到我局办理经营异常名录移出等相关手续或者办理注销手续，对逾期仍不办理的，我局将依法吊销营业执照。</w:t>
      </w:r>
      <w:r>
        <w:rPr>
          <w:rStyle w:val="6"/>
          <w:rFonts w:hint="eastAsia" w:ascii="仿宋_GB2312" w:hAnsi="仿宋_GB2312" w:eastAsia="仿宋_GB2312" w:cs="仿宋_GB2312"/>
          <w:color w:val="auto"/>
          <w:spacing w:val="0"/>
          <w:sz w:val="32"/>
          <w:szCs w:val="32"/>
          <w:lang w:val="en-US" w:eastAsia="zh-CN"/>
        </w:rPr>
        <w:t>和田孜乃提手工地毯开发有限公司等10家企业</w:t>
      </w:r>
      <w:r>
        <w:rPr>
          <w:rStyle w:val="6"/>
          <w:rFonts w:hint="eastAsia" w:ascii="仿宋_GB2312" w:hAnsi="仿宋_GB2312" w:eastAsia="仿宋_GB2312" w:cs="仿宋_GB2312"/>
          <w:color w:val="auto"/>
          <w:spacing w:val="1"/>
          <w:sz w:val="32"/>
          <w:szCs w:val="32"/>
          <w:lang w:val="en-US" w:eastAsia="zh-CN"/>
        </w:rPr>
        <w:t>连续两年未报送年度报告行为，涉嫌违反了</w:t>
      </w:r>
      <w:r>
        <w:rPr>
          <w:rStyle w:val="6"/>
          <w:rFonts w:hint="eastAsia" w:ascii="仿宋_GB2312" w:hAnsi="仿宋_GB2312" w:eastAsia="仿宋_GB2312" w:cs="仿宋_GB2312"/>
          <w:color w:val="auto"/>
          <w:sz w:val="32"/>
          <w:szCs w:val="32"/>
          <w:lang w:val="en-US" w:eastAsia="zh-CN"/>
        </w:rPr>
        <w:t>《企业信息公示暂行条例》第八条第一款</w:t>
      </w:r>
      <w:r>
        <w:rPr>
          <w:rStyle w:val="6"/>
          <w:rFonts w:hint="eastAsia" w:ascii="仿宋_GB2312" w:hAnsi="仿宋_GB2312" w:eastAsia="仿宋_GB2312" w:cs="仿宋_GB2312"/>
          <w:color w:val="auto"/>
          <w:spacing w:val="1"/>
          <w:sz w:val="32"/>
          <w:szCs w:val="32"/>
          <w:lang w:val="en-US" w:eastAsia="zh-CN"/>
        </w:rPr>
        <w:t>之规定，</w:t>
      </w:r>
      <w:r>
        <w:rPr>
          <w:rStyle w:val="6"/>
          <w:rFonts w:hint="eastAsia" w:ascii="仿宋_GB2312" w:hAnsi="仿宋_GB2312" w:eastAsia="仿宋_GB2312" w:cs="仿宋_GB2312"/>
          <w:color w:val="auto"/>
          <w:sz w:val="32"/>
          <w:szCs w:val="32"/>
          <w:lang w:val="en-US" w:eastAsia="zh-CN"/>
        </w:rPr>
        <w:t>构成未依法报送年度报告的违法行为</w:t>
      </w:r>
      <w:r>
        <w:rPr>
          <w:rStyle w:val="6"/>
          <w:rFonts w:hint="eastAsia" w:ascii="仿宋_GB2312" w:hAnsi="仿宋_GB2312" w:eastAsia="仿宋_GB2312" w:cs="仿宋_GB2312"/>
          <w:color w:val="auto"/>
          <w:spacing w:val="1"/>
          <w:sz w:val="32"/>
          <w:szCs w:val="32"/>
          <w:lang w:val="en-US" w:eastAsia="zh-CN"/>
        </w:rPr>
        <w:t>。依据《市场监督管理行政处罚程序规定》第十九条第一款的规定，我局执法人员向主要领导汇报，并于2025年8月21日立案。</w:t>
      </w:r>
      <w:r>
        <w:rPr>
          <w:rStyle w:val="6"/>
          <w:rFonts w:hint="eastAsia" w:ascii="仿宋_GB2312" w:hAnsi="仿宋_GB2312" w:eastAsia="仿宋_GB2312" w:cs="仿宋_GB2312"/>
          <w:color w:val="auto"/>
          <w:spacing w:val="1"/>
          <w:w w:val="100"/>
          <w:sz w:val="32"/>
          <w:szCs w:val="32"/>
          <w:lang w:val="en-US" w:eastAsia="zh-CN"/>
        </w:rPr>
        <w:t>本案未采取强制措</w:t>
      </w:r>
      <w:r>
        <w:rPr>
          <w:rStyle w:val="6"/>
          <w:rFonts w:hint="eastAsia" w:ascii="仿宋_GB2312" w:hAnsi="仿宋_GB2312" w:eastAsia="仿宋_GB2312" w:cs="仿宋_GB2312"/>
          <w:color w:val="auto"/>
          <w:spacing w:val="1"/>
          <w:w w:val="90"/>
          <w:sz w:val="32"/>
          <w:szCs w:val="32"/>
          <w:lang w:val="en-US" w:eastAsia="zh-CN"/>
        </w:rPr>
        <w:t>施。</w:t>
      </w:r>
      <w:r>
        <w:rPr>
          <w:rFonts w:hint="eastAsia" w:ascii="仿宋_GB2312" w:hAnsi="仿宋_GB2312" w:eastAsia="仿宋_GB2312" w:cs="仿宋_GB2312"/>
          <w:color w:val="auto"/>
          <w:spacing w:val="0"/>
          <w:sz w:val="32"/>
          <w:szCs w:val="32"/>
          <w:highlight w:val="none"/>
          <w:u w:val="single" w:color="auto"/>
          <w:lang w:val="en-US" w:eastAsia="zh-CN"/>
        </w:rPr>
        <w:fldChar w:fldCharType="end"/>
      </w:r>
      <w:r>
        <w:rPr>
          <w:rFonts w:hint="eastAsia" w:ascii="仿宋_GB2312" w:hAnsi="仿宋_GB2312" w:eastAsia="仿宋_GB2312" w:cs="仿宋_GB2312"/>
          <w:color w:val="auto"/>
          <w:spacing w:val="1"/>
          <w:w w:val="90"/>
          <w:sz w:val="32"/>
          <w:szCs w:val="32"/>
          <w:u w:val="single" w:color="auto"/>
          <w:lang w:val="en-US" w:eastAsia="zh-CN"/>
        </w:rPr>
        <w:t xml:space="preserve">                                                            </w:t>
      </w:r>
    </w:p>
    <w:p w14:paraId="1094C2EA">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和田孜乃提手工地毯开发有限公司等10家企业</w:t>
      </w:r>
      <w:r>
        <w:rPr>
          <w:rFonts w:hint="eastAsia" w:ascii="仿宋_GB2312" w:hAnsi="仿宋_GB2312" w:eastAsia="仿宋_GB2312" w:cs="仿宋_GB2312"/>
          <w:spacing w:val="0"/>
          <w:sz w:val="32"/>
          <w:szCs w:val="32"/>
          <w:u w:val="single"/>
          <w:lang w:val="en-US" w:eastAsia="zh-CN"/>
        </w:rPr>
        <w:t>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7月29日至2025年8月7日执法人员对上述10家企业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和田孜乃提手工地毯开发有限公司等10家企业</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未报送年度报告的违法事实。</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52F83405">
      <w:pPr>
        <w:spacing w:line="64" w:lineRule="exact"/>
      </w:pPr>
    </w:p>
    <w:p w14:paraId="71AAEB5C">
      <w:pPr>
        <w:spacing w:line="64" w:lineRule="exact"/>
      </w:pPr>
    </w:p>
    <w:p w14:paraId="59663585">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49E00C16">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1、2025年7月29日至2025年8月7日策勒县市场监督管理局执法人员前往登记注册地址核实的现场笔录10份，证明对10家企业连续两年未报送年度报告的企业开展现场核查的事实。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5DD2DFA2">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2、2025年</w:t>
      </w:r>
      <w:r>
        <w:rPr>
          <w:rFonts w:hint="eastAsia" w:ascii="仿宋_GB2312" w:hAnsi="仿宋_GB2312" w:eastAsia="仿宋_GB2312" w:cs="仿宋_GB2312"/>
          <w:color w:val="auto"/>
          <w:spacing w:val="1"/>
          <w:sz w:val="32"/>
          <w:szCs w:val="32"/>
          <w:highlight w:val="none"/>
          <w:u w:val="single" w:color="auto"/>
          <w:lang w:val="en-US" w:eastAsia="zh-CN"/>
        </w:rPr>
        <w:t>9月7日</w:t>
      </w:r>
      <w:r>
        <w:rPr>
          <w:rFonts w:hint="eastAsia" w:ascii="仿宋_GB2312" w:hAnsi="仿宋_GB2312" w:eastAsia="仿宋_GB2312" w:cs="仿宋_GB2312"/>
          <w:color w:val="auto"/>
          <w:spacing w:val="1"/>
          <w:sz w:val="32"/>
          <w:szCs w:val="32"/>
          <w:u w:val="single" w:color="auto"/>
          <w:lang w:val="en-US" w:eastAsia="zh-CN"/>
        </w:rPr>
        <w:t xml:space="preserve">，策勒县市场监督管理局执法人员查询新疆维吾尔自治区市场监督管理局信用监管服务平台导出的10家企业连续两年未报送年度报告的记录，证明10家企业连续两年未报送年度报告的违法事实。                                      </w:t>
      </w:r>
    </w:p>
    <w:p w14:paraId="4970797D">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eastAsia" w:ascii="仿宋_GB2312" w:hAnsi="仿宋_GB2312" w:eastAsia="仿宋_GB2312" w:cs="仿宋_GB2312"/>
          <w:color w:val="auto"/>
          <w:spacing w:val="1"/>
          <w:sz w:val="32"/>
          <w:szCs w:val="32"/>
          <w:highlight w:val="none"/>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w:t>
      </w:r>
      <w:r>
        <w:rPr>
          <w:rFonts w:hint="eastAsia" w:ascii="仿宋_GB2312" w:hAnsi="仿宋_GB2312" w:eastAsia="仿宋_GB2312" w:cs="仿宋_GB2312"/>
          <w:color w:val="auto"/>
          <w:spacing w:val="1"/>
          <w:sz w:val="32"/>
          <w:szCs w:val="32"/>
          <w:highlight w:val="none"/>
          <w:u w:val="single" w:color="auto"/>
          <w:lang w:val="en-US" w:eastAsia="zh-CN"/>
        </w:rPr>
        <w:t>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highlight w:val="none"/>
          <w:u w:val="single" w:color="auto"/>
          <w:lang w:val="en-US" w:eastAsia="zh-CN"/>
        </w:rPr>
        <w:t>》附件141家市场主体名单（</w:t>
      </w:r>
      <w:r>
        <w:rPr>
          <w:rFonts w:hint="eastAsia" w:ascii="仿宋_GB2312" w:hAnsi="仿宋_GB2312" w:eastAsia="仿宋_GB2312" w:cs="仿宋_GB2312"/>
          <w:color w:val="auto"/>
          <w:spacing w:val="0"/>
          <w:sz w:val="32"/>
          <w:szCs w:val="32"/>
          <w:highlight w:val="none"/>
          <w:u w:val="single" w:color="auto"/>
          <w:lang w:val="en-US" w:eastAsia="zh-CN"/>
        </w:rPr>
        <w:t>含</w:t>
      </w:r>
      <w:r>
        <w:rPr>
          <w:rFonts w:hint="eastAsia" w:ascii="仿宋_GB2312" w:hAnsi="仿宋_GB2312" w:eastAsia="仿宋_GB2312" w:cs="仿宋_GB2312"/>
          <w:spacing w:val="0"/>
          <w:sz w:val="32"/>
          <w:szCs w:val="32"/>
          <w:u w:val="single" w:color="auto"/>
          <w:lang w:val="en-US" w:eastAsia="zh-CN"/>
        </w:rPr>
        <w:t>和田孜乃提手工地毯开发有限公司等10家企业</w:t>
      </w:r>
      <w:r>
        <w:rPr>
          <w:rFonts w:hint="eastAsia" w:ascii="仿宋_GB2312" w:hAnsi="仿宋_GB2312" w:eastAsia="仿宋_GB2312" w:cs="仿宋_GB2312"/>
          <w:color w:val="auto"/>
          <w:spacing w:val="1"/>
          <w:sz w:val="32"/>
          <w:szCs w:val="32"/>
          <w:highlight w:val="none"/>
          <w:u w:val="single" w:color="auto"/>
          <w:lang w:val="en-US" w:eastAsia="zh-CN"/>
        </w:rPr>
        <w:t xml:space="preserve">），证明已发布公告的事实。                                                      </w:t>
      </w:r>
    </w:p>
    <w:p w14:paraId="416D3A81">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highlight w:val="none"/>
          <w:u w:val="single" w:color="auto"/>
          <w:lang w:val="en-US" w:eastAsia="zh-CN"/>
        </w:rPr>
        <w:t xml:space="preserve">4. </w:t>
      </w:r>
      <w:r>
        <w:rPr>
          <w:rFonts w:hint="eastAsia" w:ascii="仿宋_GB2312" w:hAnsi="仿宋_GB2312" w:eastAsia="仿宋_GB2312" w:cs="仿宋_GB2312"/>
          <w:color w:val="auto"/>
          <w:spacing w:val="1"/>
          <w:sz w:val="32"/>
          <w:szCs w:val="32"/>
          <w:u w:val="single" w:color="auto"/>
          <w:lang w:val="en-US" w:eastAsia="zh-CN"/>
        </w:rPr>
        <w:t>被录入经营异常名录情况截图一份，证明企业违反</w:t>
      </w:r>
      <w:r>
        <w:rPr>
          <w:rFonts w:hint="eastAsia" w:ascii="仿宋_GB2312" w:hAnsi="仿宋_GB2312" w:eastAsia="仿宋_GB2312" w:cs="仿宋_GB2312"/>
          <w:color w:val="auto"/>
          <w:sz w:val="32"/>
          <w:szCs w:val="32"/>
          <w:u w:val="single" w:color="auto"/>
          <w:lang w:val="en-US" w:eastAsia="zh-CN"/>
        </w:rPr>
        <w:t>《企业信息公示暂行条例》相关规定，其经营状态处于非正常，需整改的状态。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131DB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和田孜乃提手工地毯开发有限公司等10家企业</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 xml:space="preserve">违法事实成立，应予处罚。              </w:t>
      </w:r>
      <w:r>
        <w:rPr>
          <w:rFonts w:hint="eastAsia" w:ascii="仿宋" w:hAnsi="仿宋" w:eastAsia="仿宋" w:cs="仿宋"/>
          <w:b w:val="0"/>
          <w:bCs w:val="0"/>
          <w:color w:val="auto"/>
          <w:spacing w:val="4"/>
          <w:sz w:val="32"/>
          <w:szCs w:val="32"/>
          <w:u w:val="single" w:color="auto"/>
          <w:lang w:val="en-US" w:eastAsia="zh-CN"/>
        </w:rPr>
        <w:t xml:space="preserve"> </w:t>
      </w:r>
      <w:r>
        <w:rPr>
          <w:rFonts w:hint="eastAsia" w:ascii="仿宋" w:hAnsi="仿宋" w:eastAsia="仿宋" w:cs="仿宋"/>
          <w:b w:val="0"/>
          <w:bCs w:val="0"/>
          <w:spacing w:val="4"/>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710AB91A">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 w:hAnsi="仿宋" w:eastAsia="仿宋" w:cs="仿宋"/>
          <w:spacing w:val="4"/>
          <w:sz w:val="32"/>
          <w:szCs w:val="32"/>
          <w:u w:val="single"/>
          <w:lang w:val="en-US" w:eastAsia="zh-CN"/>
        </w:rPr>
        <w:t>和田孜乃提手工地毯开发有限公司等10家企业</w:t>
      </w:r>
      <w:r>
        <w:rPr>
          <w:rFonts w:hint="eastAsia" w:ascii="仿宋" w:hAnsi="仿宋" w:eastAsia="仿宋" w:cs="仿宋"/>
          <w:color w:val="auto"/>
          <w:sz w:val="32"/>
          <w:szCs w:val="32"/>
          <w:u w:val="single" w:color="auto"/>
          <w:lang w:val="en-US" w:eastAsia="zh-CN"/>
        </w:rPr>
        <w:t>下达了和策市监罚告【2025】74号行政处罚告知书，同时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10家企业</w:t>
      </w:r>
      <w:r>
        <w:rPr>
          <w:rFonts w:hint="eastAsia" w:ascii="仿宋" w:hAnsi="仿宋" w:eastAsia="仿宋" w:cs="仿宋"/>
          <w:color w:val="auto"/>
          <w:sz w:val="32"/>
          <w:szCs w:val="32"/>
          <w:u w:val="single" w:color="auto"/>
          <w:lang w:val="en-US" w:eastAsia="zh-CN"/>
        </w:rPr>
        <w:t>在法定期限（30日）内未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33E6D63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476" w:firstLineChars="200"/>
        <w:jc w:val="both"/>
        <w:textAlignment w:val="baseline"/>
        <w:rPr>
          <w:rFonts w:hint="default" w:ascii="仿宋" w:hAnsi="仿宋" w:eastAsia="仿宋" w:cs="仿宋"/>
          <w:b/>
          <w:bCs/>
          <w:spacing w:val="-15"/>
          <w:sz w:val="32"/>
          <w:szCs w:val="32"/>
          <w:lang w:val="en-US"/>
        </w:rPr>
      </w:pPr>
      <w:r>
        <w:rPr>
          <w:rFonts w:hint="eastAsia" w:ascii="仿宋" w:hAnsi="仿宋" w:eastAsia="仿宋" w:cs="仿宋"/>
          <w:spacing w:val="-41"/>
          <w:sz w:val="32"/>
          <w:szCs w:val="32"/>
          <w:lang w:eastAsia="zh-CN"/>
        </w:rPr>
        <w:t>（</w:t>
      </w: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hint="eastAsia" w:ascii="仿宋_GB2312" w:hAnsi="仿宋_GB2312" w:eastAsia="仿宋_GB2312" w:cs="仿宋_GB2312"/>
          <w:sz w:val="32"/>
          <w:szCs w:val="32"/>
          <w:u w:val="single" w:color="auto"/>
          <w:lang w:eastAsia="zh-CN"/>
        </w:rPr>
        <w:t>本局认为，</w:t>
      </w:r>
      <w:r>
        <w:rPr>
          <w:rFonts w:hint="eastAsia" w:ascii="仿宋_GB2312" w:hAnsi="仿宋_GB2312" w:eastAsia="仿宋_GB2312" w:cs="仿宋_GB2312"/>
          <w:spacing w:val="0"/>
          <w:sz w:val="32"/>
          <w:szCs w:val="32"/>
          <w:u w:val="single" w:color="auto"/>
          <w:lang w:val="en-US" w:eastAsia="zh-CN"/>
        </w:rPr>
        <w:t>和田孜乃提手工地毯开发有限公司等10家企业涉嫌企业连续两年未按规定报送年度报告行为</w:t>
      </w:r>
      <w:r>
        <w:rPr>
          <w:rFonts w:hint="eastAsia" w:ascii="仿宋_GB2312" w:hAnsi="仿宋_GB2312" w:eastAsia="仿宋_GB2312" w:cs="仿宋_GB2312"/>
          <w:sz w:val="32"/>
          <w:szCs w:val="32"/>
          <w:u w:val="single" w:color="auto"/>
          <w:lang w:val="en-US" w:eastAsia="zh-CN"/>
        </w:rPr>
        <w:t>，涉嫌违反了《企业信息公示暂行条例》第八条第一款（企业应当于每年1月1日至6月30日，通过国家企业信息公示系统向市场监督管理部门报送上一年度报告，并向社会公示。）之规定，构成未依法报送年度报告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3E5F0A9B">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和田孜乃提手工地毯开发有限公司等10家企业</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案自审查以来，整个程序均按照法律规定进行，程序合法。</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1A8755E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和田孜乃提手工地毯开发有限公司等10家企业</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417EF69E">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color w:val="auto"/>
          <w:spacing w:val="0"/>
          <w:sz w:val="32"/>
          <w:szCs w:val="32"/>
          <w:u w:val="single" w:color="auto"/>
          <w:lang w:val="en-US" w:eastAsia="zh-CN"/>
        </w:rPr>
        <w:t>和田孜乃提手工地毯开发有限公司等10家企业</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62637A87">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6828C372">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3DDE48FA">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46AB841E">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555BD2F1">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7958B31E">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03DD6DDC">
      <w:pPr>
        <w:spacing w:before="105" w:line="183" w:lineRule="auto"/>
        <w:ind w:firstLine="1008" w:firstLineChars="391"/>
        <w:jc w:val="both"/>
        <w:rPr>
          <w:rFonts w:ascii="黑体" w:hAnsi="黑体" w:eastAsia="黑体" w:cs="黑体"/>
          <w:color w:val="231F20"/>
          <w:spacing w:val="-31"/>
          <w:sz w:val="32"/>
          <w:szCs w:val="32"/>
        </w:rPr>
      </w:pPr>
    </w:p>
    <w:p w14:paraId="236B4558">
      <w:pPr>
        <w:spacing w:before="105" w:line="183" w:lineRule="auto"/>
        <w:ind w:firstLine="1008" w:firstLineChars="391"/>
        <w:jc w:val="both"/>
        <w:rPr>
          <w:rFonts w:ascii="黑体" w:hAnsi="黑体" w:eastAsia="黑体" w:cs="黑体"/>
          <w:color w:val="231F20"/>
          <w:spacing w:val="-31"/>
          <w:sz w:val="32"/>
          <w:szCs w:val="32"/>
        </w:rPr>
      </w:pPr>
    </w:p>
    <w:p w14:paraId="3911CAFB">
      <w:pPr>
        <w:spacing w:before="105" w:line="183" w:lineRule="auto"/>
        <w:ind w:firstLine="1008" w:firstLineChars="391"/>
        <w:jc w:val="both"/>
        <w:rPr>
          <w:rFonts w:ascii="黑体" w:hAnsi="黑体" w:eastAsia="黑体" w:cs="黑体"/>
          <w:color w:val="231F20"/>
          <w:spacing w:val="-31"/>
          <w:sz w:val="32"/>
          <w:szCs w:val="32"/>
        </w:rPr>
      </w:pPr>
    </w:p>
    <w:p w14:paraId="364BC621">
      <w:pPr>
        <w:spacing w:before="105" w:line="183" w:lineRule="auto"/>
        <w:ind w:firstLine="1008" w:firstLineChars="391"/>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56C06E66">
      <w:pPr>
        <w:spacing w:line="261" w:lineRule="auto"/>
        <w:jc w:val="both"/>
        <w:rPr>
          <w:rFonts w:ascii="Malgun Gothic"/>
          <w:sz w:val="21"/>
        </w:rPr>
      </w:pPr>
    </w:p>
    <w:p w14:paraId="337A2D9E">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1250311D">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EB8C">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1B35E">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31B35E">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4126">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30A095D"/>
    <w:rsid w:val="03CD51B9"/>
    <w:rsid w:val="04AA466F"/>
    <w:rsid w:val="04BF33D5"/>
    <w:rsid w:val="050E00C1"/>
    <w:rsid w:val="05ED0C96"/>
    <w:rsid w:val="06803990"/>
    <w:rsid w:val="06F839A7"/>
    <w:rsid w:val="07187AC2"/>
    <w:rsid w:val="073D391C"/>
    <w:rsid w:val="07433C79"/>
    <w:rsid w:val="076E44B2"/>
    <w:rsid w:val="07B91BD0"/>
    <w:rsid w:val="08A02C10"/>
    <w:rsid w:val="08BD0C6D"/>
    <w:rsid w:val="09732D68"/>
    <w:rsid w:val="0A5B6F86"/>
    <w:rsid w:val="0A967239"/>
    <w:rsid w:val="0C350AD1"/>
    <w:rsid w:val="0C8E0CB2"/>
    <w:rsid w:val="0CF842A2"/>
    <w:rsid w:val="0D906B15"/>
    <w:rsid w:val="0DCC6095"/>
    <w:rsid w:val="0DEE013F"/>
    <w:rsid w:val="0E5D49FE"/>
    <w:rsid w:val="0E6B31A6"/>
    <w:rsid w:val="0EA83853"/>
    <w:rsid w:val="0EAB7F59"/>
    <w:rsid w:val="10D56635"/>
    <w:rsid w:val="10DD68A3"/>
    <w:rsid w:val="11374F10"/>
    <w:rsid w:val="1139142B"/>
    <w:rsid w:val="11843936"/>
    <w:rsid w:val="123511CB"/>
    <w:rsid w:val="12B14FE2"/>
    <w:rsid w:val="12E07B31"/>
    <w:rsid w:val="1395790B"/>
    <w:rsid w:val="13EA4AC9"/>
    <w:rsid w:val="13F67789"/>
    <w:rsid w:val="14AF07CA"/>
    <w:rsid w:val="14E50543"/>
    <w:rsid w:val="15AE4222"/>
    <w:rsid w:val="15B144F0"/>
    <w:rsid w:val="16452E1C"/>
    <w:rsid w:val="168A5377"/>
    <w:rsid w:val="16D16BF6"/>
    <w:rsid w:val="17E87A16"/>
    <w:rsid w:val="188960FF"/>
    <w:rsid w:val="18E375DA"/>
    <w:rsid w:val="192133C9"/>
    <w:rsid w:val="1A4446E9"/>
    <w:rsid w:val="1AEF30AC"/>
    <w:rsid w:val="1B0515BA"/>
    <w:rsid w:val="1B712FCC"/>
    <w:rsid w:val="1B8C323D"/>
    <w:rsid w:val="1B984908"/>
    <w:rsid w:val="1BD0501A"/>
    <w:rsid w:val="1D816202"/>
    <w:rsid w:val="1DC0744B"/>
    <w:rsid w:val="1E0D623C"/>
    <w:rsid w:val="1E5164CA"/>
    <w:rsid w:val="1EDB06C9"/>
    <w:rsid w:val="1F6D34E7"/>
    <w:rsid w:val="20240322"/>
    <w:rsid w:val="20C5561F"/>
    <w:rsid w:val="22043500"/>
    <w:rsid w:val="23B74AEA"/>
    <w:rsid w:val="2495572D"/>
    <w:rsid w:val="254C7892"/>
    <w:rsid w:val="25790382"/>
    <w:rsid w:val="25BB3177"/>
    <w:rsid w:val="26AC2B2F"/>
    <w:rsid w:val="26BE3651"/>
    <w:rsid w:val="286E29E9"/>
    <w:rsid w:val="295B435D"/>
    <w:rsid w:val="295D7A88"/>
    <w:rsid w:val="2A5230A2"/>
    <w:rsid w:val="2A816856"/>
    <w:rsid w:val="2B91102F"/>
    <w:rsid w:val="2D2B3C3B"/>
    <w:rsid w:val="2E167879"/>
    <w:rsid w:val="2E5513A2"/>
    <w:rsid w:val="2EB013E6"/>
    <w:rsid w:val="2F247095"/>
    <w:rsid w:val="3021541B"/>
    <w:rsid w:val="303F32D5"/>
    <w:rsid w:val="31D3160B"/>
    <w:rsid w:val="32AD44FA"/>
    <w:rsid w:val="32CD21A7"/>
    <w:rsid w:val="333D093D"/>
    <w:rsid w:val="337921E8"/>
    <w:rsid w:val="344B246E"/>
    <w:rsid w:val="34733355"/>
    <w:rsid w:val="35506FA1"/>
    <w:rsid w:val="358D4217"/>
    <w:rsid w:val="36A67E9E"/>
    <w:rsid w:val="375947FC"/>
    <w:rsid w:val="377A5AE2"/>
    <w:rsid w:val="382F5DF0"/>
    <w:rsid w:val="38322AB1"/>
    <w:rsid w:val="386D693D"/>
    <w:rsid w:val="39EA10B4"/>
    <w:rsid w:val="3A3D74DD"/>
    <w:rsid w:val="3A670909"/>
    <w:rsid w:val="3B0C6E4F"/>
    <w:rsid w:val="3BA40EB1"/>
    <w:rsid w:val="3BAC1E8C"/>
    <w:rsid w:val="3D2A017E"/>
    <w:rsid w:val="3DAA2BDE"/>
    <w:rsid w:val="3F074D92"/>
    <w:rsid w:val="3F62246A"/>
    <w:rsid w:val="3F7430DE"/>
    <w:rsid w:val="40121E30"/>
    <w:rsid w:val="405D2AE2"/>
    <w:rsid w:val="40C45C61"/>
    <w:rsid w:val="411F0E08"/>
    <w:rsid w:val="41905118"/>
    <w:rsid w:val="41BA3BE6"/>
    <w:rsid w:val="421A60F7"/>
    <w:rsid w:val="42403502"/>
    <w:rsid w:val="42FF2E4E"/>
    <w:rsid w:val="439A3200"/>
    <w:rsid w:val="44070944"/>
    <w:rsid w:val="451574E5"/>
    <w:rsid w:val="456E7914"/>
    <w:rsid w:val="459D4F1B"/>
    <w:rsid w:val="46410E60"/>
    <w:rsid w:val="4685006D"/>
    <w:rsid w:val="46AB1FE2"/>
    <w:rsid w:val="46D748F1"/>
    <w:rsid w:val="47192BAD"/>
    <w:rsid w:val="477E2A3D"/>
    <w:rsid w:val="47995F3C"/>
    <w:rsid w:val="47BC0E28"/>
    <w:rsid w:val="47ED6D58"/>
    <w:rsid w:val="485F169F"/>
    <w:rsid w:val="486B4E95"/>
    <w:rsid w:val="488978A4"/>
    <w:rsid w:val="48E847AE"/>
    <w:rsid w:val="4A20562C"/>
    <w:rsid w:val="4A282339"/>
    <w:rsid w:val="4B0C26C1"/>
    <w:rsid w:val="4B4C52A3"/>
    <w:rsid w:val="4B9121EF"/>
    <w:rsid w:val="4C210451"/>
    <w:rsid w:val="4D3E5AE9"/>
    <w:rsid w:val="4DEF5BBF"/>
    <w:rsid w:val="4E4558D2"/>
    <w:rsid w:val="4EA93C5B"/>
    <w:rsid w:val="501F2D65"/>
    <w:rsid w:val="50CD7EBF"/>
    <w:rsid w:val="50F45D0F"/>
    <w:rsid w:val="519D42CC"/>
    <w:rsid w:val="53F63AFE"/>
    <w:rsid w:val="541C35F2"/>
    <w:rsid w:val="543B0206"/>
    <w:rsid w:val="549D6B60"/>
    <w:rsid w:val="553A3AD0"/>
    <w:rsid w:val="56D63910"/>
    <w:rsid w:val="57017585"/>
    <w:rsid w:val="576365A9"/>
    <w:rsid w:val="57A8158B"/>
    <w:rsid w:val="57D74661"/>
    <w:rsid w:val="585A6661"/>
    <w:rsid w:val="58D877AA"/>
    <w:rsid w:val="58F71674"/>
    <w:rsid w:val="59446AD6"/>
    <w:rsid w:val="59746B30"/>
    <w:rsid w:val="5B3539A8"/>
    <w:rsid w:val="5BF45330"/>
    <w:rsid w:val="5C191AA1"/>
    <w:rsid w:val="5CE73D24"/>
    <w:rsid w:val="5D024BCF"/>
    <w:rsid w:val="5D297961"/>
    <w:rsid w:val="5E931651"/>
    <w:rsid w:val="5F54791D"/>
    <w:rsid w:val="5F9A679C"/>
    <w:rsid w:val="602E7ABB"/>
    <w:rsid w:val="60BC147B"/>
    <w:rsid w:val="60C17355"/>
    <w:rsid w:val="61335FAE"/>
    <w:rsid w:val="616F2787"/>
    <w:rsid w:val="62562F36"/>
    <w:rsid w:val="625D3B9C"/>
    <w:rsid w:val="637A396D"/>
    <w:rsid w:val="63BC3944"/>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8EF2EBE"/>
    <w:rsid w:val="6A642CDB"/>
    <w:rsid w:val="6A8111E2"/>
    <w:rsid w:val="6ADC1522"/>
    <w:rsid w:val="6B7C591E"/>
    <w:rsid w:val="6B943581"/>
    <w:rsid w:val="6C5235F7"/>
    <w:rsid w:val="6CD37AA0"/>
    <w:rsid w:val="6D603916"/>
    <w:rsid w:val="6D836A6F"/>
    <w:rsid w:val="6DE41DA5"/>
    <w:rsid w:val="6ECE756F"/>
    <w:rsid w:val="6F4E0124"/>
    <w:rsid w:val="6F697FB9"/>
    <w:rsid w:val="71EF187B"/>
    <w:rsid w:val="725D2AA4"/>
    <w:rsid w:val="7298218B"/>
    <w:rsid w:val="74DA5576"/>
    <w:rsid w:val="75090F3E"/>
    <w:rsid w:val="75273587"/>
    <w:rsid w:val="754D5509"/>
    <w:rsid w:val="75A2116F"/>
    <w:rsid w:val="75A6394E"/>
    <w:rsid w:val="75B30136"/>
    <w:rsid w:val="76B132EF"/>
    <w:rsid w:val="76D318B3"/>
    <w:rsid w:val="780E31B6"/>
    <w:rsid w:val="785D6DE6"/>
    <w:rsid w:val="79A95D32"/>
    <w:rsid w:val="7B326464"/>
    <w:rsid w:val="7B3E7EE0"/>
    <w:rsid w:val="7B660754"/>
    <w:rsid w:val="7B6C432D"/>
    <w:rsid w:val="7C5D1593"/>
    <w:rsid w:val="7C947218"/>
    <w:rsid w:val="7D8F4CF7"/>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